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7E" w:rsidRDefault="00E3777E">
      <w:pPr>
        <w:spacing w:line="240" w:lineRule="auto"/>
        <w:jc w:val="center"/>
        <w:rPr>
          <w:b/>
          <w:bCs/>
          <w:sz w:val="24"/>
          <w:szCs w:val="24"/>
        </w:rPr>
      </w:pPr>
    </w:p>
    <w:p w:rsidR="00E3777E" w:rsidRDefault="00E3777E">
      <w:pPr>
        <w:spacing w:line="240" w:lineRule="auto"/>
        <w:jc w:val="center"/>
        <w:rPr>
          <w:b/>
          <w:bCs/>
          <w:sz w:val="24"/>
          <w:szCs w:val="24"/>
        </w:rPr>
      </w:pPr>
    </w:p>
    <w:p w:rsidR="00A77B3E" w:rsidRDefault="00CF2E0A">
      <w:pPr>
        <w:spacing w:line="240" w:lineRule="auto"/>
        <w:jc w:val="center"/>
      </w:pPr>
      <w:r>
        <w:rPr>
          <w:b/>
          <w:bCs/>
          <w:sz w:val="24"/>
          <w:szCs w:val="24"/>
        </w:rPr>
        <w:t xml:space="preserve">Informe </w:t>
      </w:r>
      <w:r w:rsidR="006D22CE">
        <w:rPr>
          <w:b/>
          <w:bCs/>
          <w:sz w:val="24"/>
          <w:szCs w:val="24"/>
        </w:rPr>
        <w:t xml:space="preserve">Trimestral </w:t>
      </w:r>
      <w:r>
        <w:rPr>
          <w:b/>
          <w:bCs/>
          <w:sz w:val="24"/>
          <w:szCs w:val="24"/>
        </w:rPr>
        <w:t>de Actividades FGPP N°0</w:t>
      </w:r>
      <w:r w:rsidR="002161D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/2012</w:t>
      </w:r>
    </w:p>
    <w:p w:rsidR="00A77B3E" w:rsidRDefault="00CF2E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“Fortalecimiento de la Gestión Pública Participativa y Cohesión Social”</w:t>
      </w:r>
    </w:p>
    <w:p w:rsidR="00A77B3E" w:rsidRPr="006D22CE" w:rsidRDefault="00CF2E0A">
      <w:pPr>
        <w:jc w:val="center"/>
        <w:rPr>
          <w:lang w:val="en-US"/>
        </w:rPr>
      </w:pPr>
      <w:r w:rsidRPr="006D22CE">
        <w:rPr>
          <w:lang w:val="en-US"/>
        </w:rPr>
        <w:t>Project ID: 00072211 - Award ID:</w:t>
      </w:r>
      <w:r w:rsidR="006D22CE">
        <w:rPr>
          <w:lang w:val="en-US"/>
        </w:rPr>
        <w:t xml:space="preserve"> </w:t>
      </w:r>
      <w:r w:rsidRPr="006D22CE">
        <w:rPr>
          <w:lang w:val="en-US"/>
        </w:rPr>
        <w:t>00058210</w:t>
      </w:r>
    </w:p>
    <w:p w:rsidR="00A77B3E" w:rsidRDefault="00A77B3E">
      <w:pPr>
        <w:jc w:val="center"/>
        <w:rPr>
          <w:lang w:val="en-US"/>
        </w:rPr>
      </w:pPr>
    </w:p>
    <w:p w:rsidR="00E3777E" w:rsidRPr="006D22CE" w:rsidRDefault="00E3777E">
      <w:pPr>
        <w:jc w:val="center"/>
        <w:rPr>
          <w:lang w:val="en-US"/>
        </w:rPr>
      </w:pPr>
    </w:p>
    <w:p w:rsidR="00A77B3E" w:rsidRPr="00DB681E" w:rsidRDefault="00CF2E0A" w:rsidP="006D22CE">
      <w:pPr>
        <w:spacing w:line="240" w:lineRule="auto"/>
        <w:ind w:left="1843" w:hanging="1845"/>
        <w:rPr>
          <w:lang w:val="en-US"/>
        </w:rPr>
      </w:pPr>
      <w:r w:rsidRPr="00DB681E">
        <w:rPr>
          <w:lang w:val="en-US"/>
        </w:rPr>
        <w:t>Fecha</w:t>
      </w:r>
      <w:r w:rsidR="002161DC" w:rsidRPr="00DB681E">
        <w:rPr>
          <w:lang w:val="en-US"/>
        </w:rPr>
        <w:t>:</w:t>
      </w:r>
      <w:r w:rsidR="002161DC" w:rsidRPr="00DB681E">
        <w:rPr>
          <w:lang w:val="en-US"/>
        </w:rPr>
        <w:tab/>
        <w:t>29</w:t>
      </w:r>
      <w:r w:rsidRPr="00DB681E">
        <w:rPr>
          <w:lang w:val="en-US"/>
        </w:rPr>
        <w:t>-0</w:t>
      </w:r>
      <w:r w:rsidR="002161DC" w:rsidRPr="00DB681E">
        <w:rPr>
          <w:lang w:val="en-US"/>
        </w:rPr>
        <w:t>6</w:t>
      </w:r>
      <w:r w:rsidRPr="00DB681E">
        <w:rPr>
          <w:lang w:val="en-US"/>
        </w:rPr>
        <w:t>-2012</w:t>
      </w:r>
    </w:p>
    <w:p w:rsidR="00A77B3E" w:rsidRDefault="00CF2E0A" w:rsidP="006D22CE">
      <w:pPr>
        <w:ind w:left="1843" w:hanging="1845"/>
      </w:pPr>
      <w:r>
        <w:t>Periodo:</w:t>
      </w:r>
      <w:r>
        <w:tab/>
      </w:r>
      <w:r w:rsidR="002161DC">
        <w:t>Abril</w:t>
      </w:r>
      <w:r>
        <w:t xml:space="preserve"> 2012 - </w:t>
      </w:r>
      <w:r w:rsidR="002161DC">
        <w:t>Junio</w:t>
      </w:r>
      <w:r>
        <w:t xml:space="preserve"> 2012</w:t>
      </w:r>
    </w:p>
    <w:p w:rsidR="00A77B3E" w:rsidRDefault="00CF2E0A" w:rsidP="006D22CE">
      <w:pPr>
        <w:ind w:left="1843" w:hanging="1845"/>
      </w:pPr>
      <w:r>
        <w:t>Nombre:</w:t>
      </w:r>
      <w:r>
        <w:tab/>
        <w:t>Cristián Ibarra</w:t>
      </w:r>
    </w:p>
    <w:p w:rsidR="00A77B3E" w:rsidRDefault="00CF2E0A" w:rsidP="006D22CE">
      <w:pPr>
        <w:pBdr>
          <w:bottom w:val="single" w:sz="12" w:space="2" w:color="808080"/>
        </w:pBdr>
        <w:ind w:left="1843" w:hanging="1845"/>
      </w:pPr>
      <w:r>
        <w:t xml:space="preserve">Cargo: </w:t>
      </w:r>
      <w:r>
        <w:tab/>
        <w:t>Coordinado</w:t>
      </w:r>
      <w:r w:rsidR="00BC3F16">
        <w:t>r</w:t>
      </w:r>
      <w:r>
        <w:t xml:space="preserve"> de Proyecto PNUD </w:t>
      </w:r>
      <w:r w:rsidR="006D22CE">
        <w:t>–</w:t>
      </w:r>
      <w:r>
        <w:t xml:space="preserve"> MSGG</w:t>
      </w:r>
    </w:p>
    <w:p w:rsidR="00E3777E" w:rsidRDefault="00E3777E" w:rsidP="006D22CE">
      <w:pPr>
        <w:pBdr>
          <w:bottom w:val="single" w:sz="12" w:space="2" w:color="808080"/>
        </w:pBdr>
        <w:ind w:left="1843" w:hanging="1845"/>
      </w:pPr>
    </w:p>
    <w:p w:rsidR="00A2283B" w:rsidRDefault="00A2283B"/>
    <w:p w:rsidR="00A77B3E" w:rsidRDefault="00A2283B">
      <w:r>
        <w:t>L</w:t>
      </w:r>
      <w:r w:rsidR="00CF2E0A">
        <w:t xml:space="preserve">as actividades desarrolladas en el proyecto, ID 72211, en el periodo </w:t>
      </w:r>
      <w:r w:rsidR="002161DC">
        <w:t>abril</w:t>
      </w:r>
      <w:r w:rsidR="00CF2E0A">
        <w:t xml:space="preserve"> 2012 - </w:t>
      </w:r>
      <w:r w:rsidR="002161DC">
        <w:t>junio</w:t>
      </w:r>
      <w:r w:rsidR="00CF2E0A">
        <w:t xml:space="preserve"> 2012 y sus correspondientes logros, son los siguientes:</w:t>
      </w:r>
    </w:p>
    <w:p w:rsidR="00E3777E" w:rsidRDefault="00E3777E"/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879"/>
        <w:gridCol w:w="538"/>
        <w:gridCol w:w="5009"/>
      </w:tblGrid>
      <w:tr w:rsidR="00A77B3E" w:rsidTr="006D22CE"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CF2E0A" w:rsidP="00C5318D">
            <w:pPr>
              <w:spacing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Fecha Inicio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CF2E0A" w:rsidP="00C5318D">
            <w:pPr>
              <w:spacing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CF2E0A" w:rsidP="00C5318D">
            <w:pPr>
              <w:spacing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Días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CF2E0A" w:rsidP="00C5318D">
            <w:pPr>
              <w:spacing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Logro</w:t>
            </w:r>
          </w:p>
        </w:tc>
      </w:tr>
      <w:tr w:rsidR="00D67834" w:rsidRPr="00DB681E" w:rsidTr="00217E83">
        <w:trPr>
          <w:trHeight w:val="259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02-04-2012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Elaboración de Respuestas a Consultas del SDP 62/2012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217E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DB681E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Respuestas a Consultas SDP 62/2012.</w:t>
            </w:r>
          </w:p>
        </w:tc>
      </w:tr>
      <w:tr w:rsidR="00D67834" w:rsidRPr="00DB681E" w:rsidTr="00217E83">
        <w:trPr>
          <w:trHeight w:val="297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17-04-2012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 w:rsidRPr="00EC1D5B">
              <w:rPr>
                <w:sz w:val="16"/>
                <w:szCs w:val="16"/>
              </w:rPr>
              <w:t>Apertura de Ofertas de SDP 62 /2012 para el Estudio Base de Participación Ciudadana - ID Project 72211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217E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Apertura de única Oferta de la Empresa Deloitte, revisión  de antecedentes administrativos de la oferta.</w:t>
            </w:r>
          </w:p>
          <w:p w:rsidR="00D67834" w:rsidRPr="00CA36C9" w:rsidRDefault="00D67834" w:rsidP="00217E8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67834" w:rsidRPr="00DB681E" w:rsidTr="00217E83">
        <w:trPr>
          <w:trHeight w:val="358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D678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17-04-2012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D678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Revisión</w:t>
            </w:r>
            <w:r w:rsidRPr="00EC1D5B"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t xml:space="preserve">los Antecedentes Técnicos de </w:t>
            </w:r>
            <w:r w:rsidRPr="00EC1D5B">
              <w:rPr>
                <w:sz w:val="16"/>
                <w:szCs w:val="16"/>
              </w:rPr>
              <w:t>Oferta de SDP 62 /</w:t>
            </w:r>
            <w:r>
              <w:rPr>
                <w:sz w:val="16"/>
                <w:szCs w:val="16"/>
              </w:rPr>
              <w:t xml:space="preserve"> </w:t>
            </w:r>
            <w:r w:rsidRPr="00EC1D5B">
              <w:rPr>
                <w:sz w:val="16"/>
                <w:szCs w:val="16"/>
              </w:rPr>
              <w:t xml:space="preserve">2012 para el Estudio Base de Participación Ciudadana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217E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Revisión de antecedentes técnicos de la oferta.</w:t>
            </w:r>
          </w:p>
          <w:p w:rsidR="00D67834" w:rsidRPr="00CA36C9" w:rsidRDefault="00D67834" w:rsidP="00217E8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67834" w:rsidRPr="00DB681E" w:rsidTr="00217E83">
        <w:trPr>
          <w:trHeight w:val="395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18-04-2012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D678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de la Propuesta Técnica al SDP 62/2012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D6783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DB681E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Técnica del SDP 62/2012.</w:t>
            </w:r>
          </w:p>
        </w:tc>
      </w:tr>
      <w:tr w:rsidR="008D6C4F" w:rsidRPr="00DB681E" w:rsidTr="00A2283B">
        <w:trPr>
          <w:trHeight w:val="355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DB681E" w:rsidRDefault="008D6C4F" w:rsidP="00DB68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02-05-2012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CA36C9" w:rsidRDefault="008D6C4F" w:rsidP="000C082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Desarrollo de </w:t>
            </w:r>
            <w:r w:rsidRPr="005B5F14">
              <w:rPr>
                <w:sz w:val="16"/>
                <w:szCs w:val="16"/>
              </w:rPr>
              <w:t>Propuesta de Modelo de Procesos de la Ley 20.500 y sus Reglamentos.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Default="008D6C4F" w:rsidP="000C08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8D6C4F" w:rsidRPr="00CA36C9" w:rsidRDefault="008D6C4F" w:rsidP="000C082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CA36C9" w:rsidRDefault="008D6C4F" w:rsidP="000C082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Modelo de Procesos de Negocio de los Reglamentos de la Ley 20.500.</w:t>
            </w:r>
          </w:p>
        </w:tc>
      </w:tr>
      <w:tr w:rsidR="00C5318D" w:rsidRPr="00DB681E" w:rsidTr="00217E83">
        <w:trPr>
          <w:trHeight w:val="359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DB681E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02-05-2012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DB681E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 w:rsidRPr="00EC1D5B">
              <w:rPr>
                <w:sz w:val="16"/>
                <w:szCs w:val="16"/>
              </w:rPr>
              <w:t xml:space="preserve">Apertura de Oferta Económica del SDP 62 /2012 para el Estudio Base de Participación </w:t>
            </w:r>
            <w:r w:rsidRPr="00EC1D5B">
              <w:rPr>
                <w:sz w:val="16"/>
                <w:szCs w:val="16"/>
              </w:rPr>
              <w:lastRenderedPageBreak/>
              <w:t>Ciudadana - ID Project 72211.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DB681E" w:rsidRDefault="00C5318D" w:rsidP="00217E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EC1D5B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 w:rsidRPr="00EC1D5B">
              <w:rPr>
                <w:sz w:val="16"/>
                <w:szCs w:val="16"/>
              </w:rPr>
              <w:t>Apertura</w:t>
            </w:r>
            <w:r>
              <w:rPr>
                <w:sz w:val="16"/>
                <w:szCs w:val="16"/>
              </w:rPr>
              <w:t xml:space="preserve"> de la Propuesta Económica del único proponente, Deloitte, cuya oferta está </w:t>
            </w:r>
            <w:r w:rsidRPr="00EC1D5B">
              <w:rPr>
                <w:sz w:val="16"/>
                <w:szCs w:val="16"/>
              </w:rPr>
              <w:t>sobre el</w:t>
            </w:r>
            <w:r>
              <w:rPr>
                <w:sz w:val="16"/>
                <w:szCs w:val="16"/>
              </w:rPr>
              <w:t xml:space="preserve"> monto previsto para el Estudio.</w:t>
            </w:r>
          </w:p>
          <w:p w:rsidR="00C5318D" w:rsidRPr="00DB681E" w:rsidRDefault="00C5318D" w:rsidP="00217E8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5318D" w:rsidRPr="00DB681E" w:rsidTr="00217E83">
        <w:trPr>
          <w:trHeight w:val="338"/>
        </w:trPr>
        <w:tc>
          <w:tcPr>
            <w:tcW w:w="59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03-05-2012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Emisión del Informe de Resultado de la Evaluación Técnica y Económica de la única Propuesta.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 w:rsidRPr="00EC1D5B">
              <w:rPr>
                <w:sz w:val="16"/>
                <w:szCs w:val="16"/>
              </w:rPr>
              <w:t>Entrega de la Propuesta Técnica y Económica al Coordinador del Proyecto, para emisión de informe del resultado final de la Evaluación dirigido al Representante Residente.</w:t>
            </w:r>
          </w:p>
        </w:tc>
      </w:tr>
      <w:tr w:rsidR="00C5318D" w:rsidRPr="00DB681E" w:rsidTr="00217E83">
        <w:trPr>
          <w:trHeight w:val="333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03-05-2012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 w:rsidRPr="009364B4">
              <w:rPr>
                <w:sz w:val="16"/>
                <w:szCs w:val="16"/>
              </w:rPr>
              <w:t>Avaluación Final de la Oferta Económica del SDP 62 /2012 para el Estudio Base de Participación Ciudadana - ID Project 72211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E3777E" w:rsidP="00E3777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Decisión de</w:t>
            </w:r>
            <w:r w:rsidR="00C5318D" w:rsidRPr="009364B4">
              <w:rPr>
                <w:sz w:val="16"/>
                <w:szCs w:val="16"/>
              </w:rPr>
              <w:t xml:space="preserve"> no adjudicar este Estudio a Deloitte, por sobrepasar en casi 3 veces el monto esti</w:t>
            </w:r>
            <w:r w:rsidR="00C5318D">
              <w:rPr>
                <w:sz w:val="16"/>
                <w:szCs w:val="16"/>
              </w:rPr>
              <w:t xml:space="preserve">mado para el trabajo solicitado, </w:t>
            </w:r>
            <w:r w:rsidR="00C5318D" w:rsidRPr="009364B4">
              <w:rPr>
                <w:sz w:val="16"/>
                <w:szCs w:val="16"/>
              </w:rPr>
              <w:t>principalmente explicado por el alto costo del equipo de trabajo propuesto. Se comunica dicha decisión a PNUD por el Coordinadora General, vía Memorandum al efecto.</w:t>
            </w:r>
            <w:r w:rsidR="00C5318D">
              <w:rPr>
                <w:sz w:val="16"/>
                <w:szCs w:val="16"/>
              </w:rPr>
              <w:t xml:space="preserve"> Paralelamente, s</w:t>
            </w:r>
            <w:r w:rsidR="00C5318D" w:rsidRPr="009364B4">
              <w:rPr>
                <w:sz w:val="16"/>
                <w:szCs w:val="16"/>
              </w:rPr>
              <w:t xml:space="preserve">e </w:t>
            </w:r>
            <w:r w:rsidR="00C5318D">
              <w:rPr>
                <w:sz w:val="16"/>
                <w:szCs w:val="16"/>
              </w:rPr>
              <w:t>decide evaluar la factibilidad de ejecutar en forma directa el proyecto</w:t>
            </w:r>
            <w:r w:rsidR="00C5318D" w:rsidRPr="009364B4">
              <w:rPr>
                <w:sz w:val="16"/>
                <w:szCs w:val="16"/>
              </w:rPr>
              <w:t>, previa elaboración del programa de trabajo específico que deberán abordar y productos a entregar por los consultores.</w:t>
            </w:r>
          </w:p>
        </w:tc>
      </w:tr>
      <w:tr w:rsidR="00C5318D" w:rsidRPr="00DB681E" w:rsidTr="00217E83">
        <w:trPr>
          <w:trHeight w:val="157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08-05-2012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 w:rsidRPr="00B43D07">
              <w:rPr>
                <w:sz w:val="16"/>
                <w:szCs w:val="16"/>
              </w:rPr>
              <w:t>Ejecución Directa del Proyecto de Participación Ciudadana - ID Project 72211, Etapa de Levantamiento.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B43D07" w:rsidRDefault="00E3777E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C5318D">
              <w:rPr>
                <w:sz w:val="16"/>
                <w:szCs w:val="16"/>
              </w:rPr>
              <w:t>omunica</w:t>
            </w:r>
            <w:r>
              <w:rPr>
                <w:sz w:val="16"/>
                <w:szCs w:val="16"/>
              </w:rPr>
              <w:t xml:space="preserve">ción </w:t>
            </w:r>
            <w:r w:rsidR="00C5318D" w:rsidRPr="00B43D07">
              <w:rPr>
                <w:sz w:val="16"/>
                <w:szCs w:val="16"/>
              </w:rPr>
              <w:t>a PNUD la decisión de dejar desierta la licitación 62/2012, por parte de la Coordinadora General.</w:t>
            </w:r>
          </w:p>
          <w:p w:rsidR="00C5318D" w:rsidRPr="00B43D07" w:rsidRDefault="00C5318D" w:rsidP="00217E83">
            <w:pPr>
              <w:spacing w:line="240" w:lineRule="auto"/>
              <w:rPr>
                <w:sz w:val="16"/>
                <w:szCs w:val="16"/>
              </w:rPr>
            </w:pPr>
          </w:p>
          <w:p w:rsidR="00C5318D" w:rsidRPr="00B43D07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 w:rsidRPr="00B43D07">
              <w:rPr>
                <w:sz w:val="16"/>
                <w:szCs w:val="16"/>
              </w:rPr>
              <w:t>Se estableció la posibilidad de Contratar Servicios de Consultores Individuales a través de PNUD y se validó con la Subsecretaria.</w:t>
            </w:r>
          </w:p>
          <w:p w:rsidR="00C5318D" w:rsidRPr="00CA36C9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 w:rsidRPr="00B43D07">
              <w:rPr>
                <w:sz w:val="16"/>
                <w:szCs w:val="16"/>
              </w:rPr>
              <w:t>Se acuerda desarrollar a la brevedad  por parte del Coordinador de Proyecto, los TDR para 2 profesionales especialistas en políticas y tecnologías de participación ciudadana y otro para aplicación de encuestas, para su pronta implementación.</w:t>
            </w:r>
          </w:p>
        </w:tc>
      </w:tr>
      <w:tr w:rsidR="00C5318D" w:rsidRPr="00DB681E" w:rsidTr="00217E83">
        <w:trPr>
          <w:trHeight w:val="563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08-05-2012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DB681E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Planificación y Calendarización de Proyecto para Ejecución Directa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DB681E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Cronograma de Actividades Ajustad para el Proyecto de Ejecución Directa.</w:t>
            </w:r>
          </w:p>
        </w:tc>
      </w:tr>
      <w:tr w:rsidR="00C5318D" w:rsidRPr="00DB681E" w:rsidTr="00217E83">
        <w:trPr>
          <w:trHeight w:val="563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08-05-2012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Desarrollo de TDR para contratación de consultores para ejecución directa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DB681E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TDR para contratación de consultores para ejecución directa del proyecto.</w:t>
            </w:r>
          </w:p>
        </w:tc>
      </w:tr>
      <w:tr w:rsidR="00C5318D" w:rsidRPr="00DB681E" w:rsidTr="00217E83">
        <w:trPr>
          <w:trHeight w:val="191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DB681E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15-05-2012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DB681E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 w:rsidRPr="00B43D07">
              <w:rPr>
                <w:sz w:val="16"/>
                <w:szCs w:val="16"/>
              </w:rPr>
              <w:t>Revisión de TDR para Contratación de Consultores para la Etapa de Levantamiento.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DB681E" w:rsidRDefault="00C5318D" w:rsidP="00217E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Default="00E3777E" w:rsidP="00E3777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Entrega y aprobación de </w:t>
            </w:r>
            <w:r w:rsidR="00C5318D" w:rsidRPr="00B43D07">
              <w:rPr>
                <w:sz w:val="16"/>
                <w:szCs w:val="16"/>
              </w:rPr>
              <w:t>TDR para los concursos de consultores de:</w:t>
            </w:r>
            <w:r w:rsidR="00C5318D">
              <w:rPr>
                <w:sz w:val="16"/>
                <w:szCs w:val="16"/>
              </w:rPr>
              <w:t xml:space="preserve"> </w:t>
            </w:r>
            <w:r w:rsidR="00C5318D" w:rsidRPr="00B43D07">
              <w:rPr>
                <w:sz w:val="16"/>
                <w:szCs w:val="16"/>
              </w:rPr>
              <w:t>Analista de Contenidos</w:t>
            </w:r>
            <w:r w:rsidR="00C5318D">
              <w:rPr>
                <w:sz w:val="16"/>
                <w:szCs w:val="16"/>
              </w:rPr>
              <w:t xml:space="preserve">, </w:t>
            </w:r>
            <w:r w:rsidR="00C5318D" w:rsidRPr="00B43D07">
              <w:rPr>
                <w:sz w:val="16"/>
                <w:szCs w:val="16"/>
              </w:rPr>
              <w:t xml:space="preserve">Tecnología Aplicadas </w:t>
            </w:r>
            <w:r w:rsidR="00C5318D">
              <w:rPr>
                <w:sz w:val="16"/>
                <w:szCs w:val="16"/>
              </w:rPr>
              <w:t xml:space="preserve">y </w:t>
            </w:r>
            <w:r w:rsidR="00C5318D" w:rsidRPr="00B43D07">
              <w:rPr>
                <w:sz w:val="16"/>
                <w:szCs w:val="16"/>
              </w:rPr>
              <w:t>Encuestador WEB</w:t>
            </w:r>
            <w:r w:rsidR="00C5318D">
              <w:rPr>
                <w:sz w:val="16"/>
                <w:szCs w:val="16"/>
              </w:rPr>
              <w:t>.</w:t>
            </w:r>
          </w:p>
          <w:p w:rsidR="00E3777E" w:rsidRPr="00DB681E" w:rsidRDefault="00E3777E" w:rsidP="00E3777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D6C4F" w:rsidRPr="00DB681E" w:rsidTr="00C5318D">
        <w:trPr>
          <w:trHeight w:val="355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DB681E" w:rsidRDefault="008D6C4F" w:rsidP="00DB681E">
            <w:pPr>
              <w:spacing w:line="240" w:lineRule="auto"/>
              <w:rPr>
                <w:sz w:val="16"/>
                <w:szCs w:val="16"/>
              </w:rPr>
            </w:pPr>
            <w:r w:rsidRPr="00DB681E">
              <w:rPr>
                <w:sz w:val="16"/>
                <w:szCs w:val="16"/>
              </w:rPr>
              <w:t>17-0</w:t>
            </w:r>
            <w:r>
              <w:rPr>
                <w:sz w:val="16"/>
                <w:szCs w:val="16"/>
              </w:rPr>
              <w:t>5</w:t>
            </w:r>
            <w:r w:rsidRPr="00DB681E">
              <w:rPr>
                <w:sz w:val="16"/>
                <w:szCs w:val="16"/>
              </w:rPr>
              <w:t>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DB681E" w:rsidRDefault="008D6C4F">
            <w:pPr>
              <w:spacing w:line="240" w:lineRule="auto"/>
              <w:rPr>
                <w:sz w:val="16"/>
                <w:szCs w:val="16"/>
              </w:rPr>
            </w:pPr>
            <w:r w:rsidRPr="00DB681E">
              <w:rPr>
                <w:sz w:val="16"/>
                <w:szCs w:val="16"/>
              </w:rPr>
              <w:t>Coordinación Suplencia de Representante DOS en Proyecto PNUD por Vacaciones.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DB681E" w:rsidRDefault="008D6C4F" w:rsidP="00DB681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DB681E" w:rsidRDefault="008D6C4F" w:rsidP="008D6C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Contacto con </w:t>
            </w:r>
            <w:r w:rsidRPr="00DB681E">
              <w:rPr>
                <w:sz w:val="16"/>
                <w:szCs w:val="16"/>
              </w:rPr>
              <w:t>Carola Parraguez</w:t>
            </w:r>
            <w:r>
              <w:rPr>
                <w:sz w:val="16"/>
                <w:szCs w:val="16"/>
              </w:rPr>
              <w:t xml:space="preserve"> – Jefa de Estudios de la DOS por vacaciones de representante de DOS. Se interioriza del proyecto y de la contribución esperada de la DOS en los contenidos de participación ciudadana y su coordinación de los Servicios Públicos. </w:t>
            </w:r>
          </w:p>
        </w:tc>
      </w:tr>
      <w:tr w:rsidR="008D6C4F" w:rsidRPr="00DB681E" w:rsidTr="00A2283B">
        <w:trPr>
          <w:trHeight w:val="33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DB681E" w:rsidRDefault="008D6C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23-05-2012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DB681E" w:rsidRDefault="00A06233" w:rsidP="00A062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Revisión de</w:t>
            </w:r>
            <w:r w:rsidR="008D6C4F" w:rsidRPr="00DB681E">
              <w:rPr>
                <w:sz w:val="16"/>
                <w:szCs w:val="16"/>
              </w:rPr>
              <w:t>l Sistema de Monitoreo de la Implementación de la Ley 20.500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DB681E" w:rsidRDefault="008D6C4F" w:rsidP="00DB681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77E" w:rsidRPr="00DB681E" w:rsidRDefault="00A06233" w:rsidP="00A062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Observaciones a</w:t>
            </w:r>
            <w:r w:rsidR="008D6C4F" w:rsidRPr="00DB681E">
              <w:rPr>
                <w:sz w:val="16"/>
                <w:szCs w:val="16"/>
              </w:rPr>
              <w:t xml:space="preserve">l Sistema de Monitoreo de la </w:t>
            </w:r>
            <w:r w:rsidR="008D6C4F">
              <w:rPr>
                <w:sz w:val="16"/>
                <w:szCs w:val="16"/>
              </w:rPr>
              <w:t>Im</w:t>
            </w:r>
            <w:r>
              <w:rPr>
                <w:sz w:val="16"/>
                <w:szCs w:val="16"/>
              </w:rPr>
              <w:t>plementación de la Ley 20.500 y</w:t>
            </w:r>
            <w:r w:rsidR="008D6C4F" w:rsidRPr="00DB681E">
              <w:rPr>
                <w:sz w:val="16"/>
                <w:szCs w:val="16"/>
              </w:rPr>
              <w:t xml:space="preserve"> sugerencias </w:t>
            </w:r>
            <w:r w:rsidR="008D6C4F">
              <w:rPr>
                <w:sz w:val="16"/>
                <w:szCs w:val="16"/>
              </w:rPr>
              <w:t xml:space="preserve">en </w:t>
            </w:r>
            <w:r w:rsidR="008D6C4F" w:rsidRPr="00DB681E">
              <w:rPr>
                <w:sz w:val="16"/>
                <w:szCs w:val="16"/>
              </w:rPr>
              <w:t xml:space="preserve">aspectos técnicos de la implementación y </w:t>
            </w:r>
            <w:r>
              <w:rPr>
                <w:sz w:val="16"/>
                <w:szCs w:val="16"/>
              </w:rPr>
              <w:t>de</w:t>
            </w:r>
            <w:r w:rsidR="008D6C4F">
              <w:rPr>
                <w:sz w:val="16"/>
                <w:szCs w:val="16"/>
              </w:rPr>
              <w:t xml:space="preserve"> foco en el usuario final</w:t>
            </w:r>
            <w:r w:rsidR="008D6C4F" w:rsidRPr="00DB681E">
              <w:rPr>
                <w:sz w:val="16"/>
                <w:szCs w:val="16"/>
              </w:rPr>
              <w:t xml:space="preserve"> para el desarrollador del sistema.</w:t>
            </w:r>
          </w:p>
        </w:tc>
      </w:tr>
      <w:tr w:rsidR="008D6C4F" w:rsidRPr="00DB681E" w:rsidTr="00A2283B">
        <w:trPr>
          <w:trHeight w:val="3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CA36C9" w:rsidRDefault="008D6C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24-05-2012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CA36C9" w:rsidRDefault="008D6C4F">
            <w:pPr>
              <w:spacing w:line="240" w:lineRule="auto"/>
              <w:rPr>
                <w:sz w:val="16"/>
                <w:szCs w:val="16"/>
              </w:rPr>
            </w:pPr>
            <w:r w:rsidRPr="00DB681E">
              <w:rPr>
                <w:sz w:val="16"/>
                <w:szCs w:val="16"/>
              </w:rPr>
              <w:t>Sondeo SIAC sobre Participación Ciudadana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CA36C9" w:rsidRDefault="008D6C4F" w:rsidP="00DB681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CA36C9" w:rsidRDefault="00A06233" w:rsidP="00A062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Aná</w:t>
            </w:r>
            <w:r w:rsidR="008D6C4F">
              <w:rPr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sis de</w:t>
            </w:r>
            <w:r w:rsidR="008D6C4F">
              <w:rPr>
                <w:sz w:val="16"/>
                <w:szCs w:val="16"/>
              </w:rPr>
              <w:t xml:space="preserve"> la</w:t>
            </w:r>
            <w:r w:rsidR="008D6C4F" w:rsidRPr="00DB681E">
              <w:rPr>
                <w:sz w:val="16"/>
                <w:szCs w:val="16"/>
              </w:rPr>
              <w:t xml:space="preserve"> propuesta de</w:t>
            </w:r>
            <w:r w:rsidR="008D6C4F">
              <w:rPr>
                <w:sz w:val="16"/>
                <w:szCs w:val="16"/>
              </w:rPr>
              <w:t>l</w:t>
            </w:r>
            <w:r w:rsidR="008D6C4F" w:rsidRPr="00DB681E">
              <w:rPr>
                <w:sz w:val="16"/>
                <w:szCs w:val="16"/>
              </w:rPr>
              <w:t xml:space="preserve"> </w:t>
            </w:r>
            <w:r w:rsidR="008D6C4F">
              <w:rPr>
                <w:sz w:val="16"/>
                <w:szCs w:val="16"/>
              </w:rPr>
              <w:t>E</w:t>
            </w:r>
            <w:r w:rsidR="008D6C4F" w:rsidRPr="00DB681E">
              <w:rPr>
                <w:sz w:val="16"/>
                <w:szCs w:val="16"/>
              </w:rPr>
              <w:t xml:space="preserve">quipo SIAC, </w:t>
            </w:r>
            <w:r w:rsidR="008D6C4F">
              <w:rPr>
                <w:sz w:val="16"/>
                <w:szCs w:val="16"/>
              </w:rPr>
              <w:t xml:space="preserve">para un </w:t>
            </w:r>
            <w:r w:rsidR="008D6C4F" w:rsidRPr="00DB681E">
              <w:rPr>
                <w:sz w:val="16"/>
                <w:szCs w:val="16"/>
              </w:rPr>
              <w:t xml:space="preserve">sondeo </w:t>
            </w:r>
            <w:r w:rsidR="008D6C4F">
              <w:rPr>
                <w:sz w:val="16"/>
                <w:szCs w:val="16"/>
              </w:rPr>
              <w:t xml:space="preserve">preliminar sobre participación ciudadana, indicándose que se </w:t>
            </w:r>
            <w:r w:rsidR="008D6C4F" w:rsidRPr="00DB681E">
              <w:rPr>
                <w:sz w:val="16"/>
                <w:szCs w:val="16"/>
              </w:rPr>
              <w:t>pr</w:t>
            </w:r>
            <w:r w:rsidR="008D6C4F">
              <w:rPr>
                <w:sz w:val="16"/>
                <w:szCs w:val="16"/>
              </w:rPr>
              <w:t>etende conocer los aspectos de B</w:t>
            </w:r>
            <w:r w:rsidR="008D6C4F" w:rsidRPr="00DB681E">
              <w:rPr>
                <w:sz w:val="16"/>
                <w:szCs w:val="16"/>
              </w:rPr>
              <w:t>ackoffice implementados por las instituciones a través de SIAC, para satisfacer las exigencias de los mecanismos de participación ciudadana.</w:t>
            </w:r>
          </w:p>
        </w:tc>
      </w:tr>
      <w:tr w:rsidR="00C5318D" w:rsidRPr="00DB681E" w:rsidTr="00217E83">
        <w:trPr>
          <w:trHeight w:val="339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29-05-2012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 w:rsidRPr="004866F0">
              <w:rPr>
                <w:sz w:val="16"/>
                <w:szCs w:val="16"/>
              </w:rPr>
              <w:t>Seguimiento del Concurso para Contratación de Consultores para la Etapa de Levantamiento.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CA36C9" w:rsidRDefault="00C5318D" w:rsidP="00217E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8D" w:rsidRPr="004866F0" w:rsidRDefault="00A06233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Revisión </w:t>
            </w:r>
            <w:r w:rsidR="00C5318D" w:rsidRPr="004866F0">
              <w:rPr>
                <w:sz w:val="16"/>
                <w:szCs w:val="16"/>
              </w:rPr>
              <w:t>y complementa</w:t>
            </w:r>
            <w:r>
              <w:rPr>
                <w:sz w:val="16"/>
                <w:szCs w:val="16"/>
              </w:rPr>
              <w:t>ción de</w:t>
            </w:r>
            <w:r w:rsidR="00C5318D" w:rsidRPr="004866F0">
              <w:rPr>
                <w:sz w:val="16"/>
                <w:szCs w:val="16"/>
              </w:rPr>
              <w:t xml:space="preserve"> la lista de consultores propuesta a PNUD, además más los mismos invitados directamente por PNUD.</w:t>
            </w:r>
          </w:p>
          <w:p w:rsidR="00C5318D" w:rsidRDefault="00C5318D" w:rsidP="00217E83">
            <w:pPr>
              <w:spacing w:line="240" w:lineRule="auto"/>
              <w:rPr>
                <w:sz w:val="16"/>
                <w:szCs w:val="16"/>
              </w:rPr>
            </w:pPr>
            <w:r w:rsidRPr="004866F0">
              <w:rPr>
                <w:sz w:val="16"/>
                <w:szCs w:val="16"/>
              </w:rPr>
              <w:t>Se detecta que se cuenta con más de 20 consultores invitados.</w:t>
            </w:r>
          </w:p>
          <w:p w:rsidR="00E3777E" w:rsidRPr="00CA36C9" w:rsidRDefault="00E3777E" w:rsidP="00217E8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D6C4F" w:rsidRPr="00DB681E" w:rsidTr="00A2283B">
        <w:trPr>
          <w:trHeight w:val="336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CA36C9" w:rsidRDefault="008D6C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31-05-2012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CA36C9" w:rsidRDefault="008D6C4F">
            <w:pPr>
              <w:spacing w:line="240" w:lineRule="auto"/>
              <w:rPr>
                <w:sz w:val="16"/>
                <w:szCs w:val="16"/>
              </w:rPr>
            </w:pPr>
            <w:r w:rsidRPr="000259B2">
              <w:rPr>
                <w:sz w:val="16"/>
                <w:szCs w:val="16"/>
              </w:rPr>
              <w:t>Sondeo SIAC sobre Participación Ciudadana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CA36C9" w:rsidRDefault="008D6C4F" w:rsidP="00DB681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CA36C9" w:rsidRDefault="00A06233" w:rsidP="00A062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Profundización en</w:t>
            </w:r>
            <w:r w:rsidR="008D6C4F" w:rsidRPr="000259B2">
              <w:rPr>
                <w:sz w:val="16"/>
                <w:szCs w:val="16"/>
              </w:rPr>
              <w:t xml:space="preserve"> aspectos de Participación Ciudadana, saliendo del enfoque básico de consulta general de instrumentalización del SIAC, </w:t>
            </w:r>
            <w:r w:rsidR="008D6C4F">
              <w:rPr>
                <w:sz w:val="16"/>
                <w:szCs w:val="16"/>
              </w:rPr>
              <w:t>precisando aspectos de Calidad</w:t>
            </w:r>
            <w:r w:rsidR="008D6C4F" w:rsidRPr="000259B2">
              <w:rPr>
                <w:sz w:val="16"/>
                <w:szCs w:val="16"/>
              </w:rPr>
              <w:t>, Planificación y Control, e Institucionaliza</w:t>
            </w:r>
            <w:r w:rsidR="008D6C4F">
              <w:rPr>
                <w:sz w:val="16"/>
                <w:szCs w:val="16"/>
              </w:rPr>
              <w:t xml:space="preserve">ción de normas y procedimientos, evaluados por </w:t>
            </w:r>
            <w:r w:rsidR="008D6C4F" w:rsidRPr="000259B2">
              <w:rPr>
                <w:sz w:val="16"/>
                <w:szCs w:val="16"/>
              </w:rPr>
              <w:t>la red de expertos</w:t>
            </w:r>
            <w:r w:rsidR="008D6C4F">
              <w:rPr>
                <w:sz w:val="16"/>
                <w:szCs w:val="16"/>
              </w:rPr>
              <w:t xml:space="preserve">, se precisan </w:t>
            </w:r>
            <w:r w:rsidR="008D6C4F" w:rsidRPr="000259B2">
              <w:rPr>
                <w:sz w:val="16"/>
                <w:szCs w:val="16"/>
              </w:rPr>
              <w:t>las preguntas del cuestionario propuesto</w:t>
            </w:r>
            <w:r w:rsidR="008D6C4F">
              <w:rPr>
                <w:sz w:val="16"/>
                <w:szCs w:val="16"/>
              </w:rPr>
              <w:t>.</w:t>
            </w:r>
            <w:r w:rsidR="008D6C4F" w:rsidRPr="000259B2">
              <w:rPr>
                <w:sz w:val="16"/>
                <w:szCs w:val="16"/>
              </w:rPr>
              <w:t xml:space="preserve"> </w:t>
            </w:r>
          </w:p>
        </w:tc>
      </w:tr>
      <w:tr w:rsidR="00D67834" w:rsidRPr="00DB681E" w:rsidTr="00217E83">
        <w:trPr>
          <w:trHeight w:val="319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05-06-2012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 w:rsidRPr="004866F0">
              <w:rPr>
                <w:sz w:val="16"/>
                <w:szCs w:val="16"/>
              </w:rPr>
              <w:t>Seguimiento 2 del Concurso para Contratación de Consultores para la Etapa de Levantamiento.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CA36C9" w:rsidRDefault="00D67834" w:rsidP="00217E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4866F0" w:rsidRDefault="00A06233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866F0">
              <w:rPr>
                <w:sz w:val="16"/>
                <w:szCs w:val="16"/>
              </w:rPr>
              <w:t>ublica</w:t>
            </w:r>
            <w:r>
              <w:rPr>
                <w:sz w:val="16"/>
                <w:szCs w:val="16"/>
              </w:rPr>
              <w:t>ción de Concursos el 16-05-2012 y P</w:t>
            </w:r>
            <w:r w:rsidR="00D67834" w:rsidRPr="004866F0">
              <w:rPr>
                <w:sz w:val="16"/>
                <w:szCs w:val="16"/>
              </w:rPr>
              <w:t>resentación d</w:t>
            </w:r>
            <w:r>
              <w:rPr>
                <w:sz w:val="16"/>
                <w:szCs w:val="16"/>
              </w:rPr>
              <w:t>e propuestas para el 11-06-2012.</w:t>
            </w:r>
            <w:r w:rsidR="00D67834" w:rsidRPr="004866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="00D67834">
              <w:rPr>
                <w:sz w:val="16"/>
                <w:szCs w:val="16"/>
              </w:rPr>
              <w:t>onfirma</w:t>
            </w:r>
            <w:r>
              <w:rPr>
                <w:sz w:val="16"/>
                <w:szCs w:val="16"/>
              </w:rPr>
              <w:t>ción de</w:t>
            </w:r>
            <w:r w:rsidR="00D67834" w:rsidRPr="004866F0">
              <w:rPr>
                <w:sz w:val="16"/>
                <w:szCs w:val="16"/>
              </w:rPr>
              <w:t xml:space="preserve"> </w:t>
            </w:r>
            <w:r w:rsidR="00D67834">
              <w:rPr>
                <w:sz w:val="16"/>
                <w:szCs w:val="16"/>
              </w:rPr>
              <w:t>l</w:t>
            </w:r>
            <w:r w:rsidR="00D67834" w:rsidRPr="004866F0">
              <w:rPr>
                <w:sz w:val="16"/>
                <w:szCs w:val="16"/>
              </w:rPr>
              <w:t>a presentación de al menos:</w:t>
            </w:r>
            <w:r w:rsidR="00D67834">
              <w:rPr>
                <w:sz w:val="16"/>
                <w:szCs w:val="16"/>
              </w:rPr>
              <w:t xml:space="preserve"> </w:t>
            </w:r>
            <w:r w:rsidR="00D67834" w:rsidRPr="004866F0">
              <w:rPr>
                <w:sz w:val="16"/>
                <w:szCs w:val="16"/>
              </w:rPr>
              <w:t xml:space="preserve">3 consultores analistas de contenidos </w:t>
            </w:r>
          </w:p>
          <w:p w:rsidR="00D67834" w:rsidRPr="00CA36C9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 w:rsidRPr="004866F0">
              <w:rPr>
                <w:sz w:val="16"/>
                <w:szCs w:val="16"/>
              </w:rPr>
              <w:t>3 consu</w:t>
            </w:r>
            <w:r>
              <w:rPr>
                <w:sz w:val="16"/>
                <w:szCs w:val="16"/>
              </w:rPr>
              <w:t>ltores de Tecnologías aplicadas, y ninguno en encuestas WEB, por lo que incentiva</w:t>
            </w:r>
            <w:r w:rsidRPr="004866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otros</w:t>
            </w:r>
            <w:r w:rsidRPr="004866F0">
              <w:rPr>
                <w:sz w:val="16"/>
                <w:szCs w:val="16"/>
              </w:rPr>
              <w:t xml:space="preserve"> potenciales proponentes.</w:t>
            </w:r>
          </w:p>
        </w:tc>
      </w:tr>
      <w:tr w:rsidR="00D67834" w:rsidRPr="00DB681E" w:rsidTr="00217E83">
        <w:trPr>
          <w:trHeight w:val="175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DB681E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07-06-2012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DB681E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 w:rsidRPr="000259B2">
              <w:rPr>
                <w:sz w:val="16"/>
                <w:szCs w:val="16"/>
              </w:rPr>
              <w:t xml:space="preserve">Revisión </w:t>
            </w:r>
            <w:r>
              <w:rPr>
                <w:sz w:val="16"/>
                <w:szCs w:val="16"/>
              </w:rPr>
              <w:t xml:space="preserve">Final </w:t>
            </w:r>
            <w:r w:rsidRPr="000259B2">
              <w:rPr>
                <w:sz w:val="16"/>
                <w:szCs w:val="16"/>
              </w:rPr>
              <w:t>del Modelo de Sondeo SIAC sobre Participación Ciudadana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DB681E" w:rsidRDefault="00D67834" w:rsidP="00217E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DB681E" w:rsidRDefault="00A06233" w:rsidP="00A062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</w:t>
            </w:r>
            <w:r w:rsidR="00D67834" w:rsidRPr="000259B2">
              <w:rPr>
                <w:sz w:val="16"/>
                <w:szCs w:val="16"/>
              </w:rPr>
              <w:t>rrecciones e indicaciones</w:t>
            </w:r>
            <w:r w:rsidR="00D67834">
              <w:rPr>
                <w:sz w:val="16"/>
                <w:szCs w:val="16"/>
              </w:rPr>
              <w:t xml:space="preserve"> finales al cuestionario propuesto</w:t>
            </w:r>
            <w:r w:rsidR="00D67834" w:rsidRPr="000259B2">
              <w:rPr>
                <w:sz w:val="16"/>
                <w:szCs w:val="16"/>
              </w:rPr>
              <w:t xml:space="preserve"> para participación ciudadana</w:t>
            </w:r>
            <w:r w:rsidR="00D67834">
              <w:rPr>
                <w:sz w:val="16"/>
                <w:szCs w:val="16"/>
              </w:rPr>
              <w:t>,</w:t>
            </w:r>
            <w:r w:rsidR="00D67834" w:rsidRPr="000259B2">
              <w:rPr>
                <w:sz w:val="16"/>
                <w:szCs w:val="16"/>
              </w:rPr>
              <w:t xml:space="preserve"> </w:t>
            </w:r>
            <w:r w:rsidR="00D67834">
              <w:rPr>
                <w:sz w:val="16"/>
                <w:szCs w:val="16"/>
              </w:rPr>
              <w:t xml:space="preserve">a </w:t>
            </w:r>
            <w:r w:rsidR="00D67834" w:rsidRPr="000259B2">
              <w:rPr>
                <w:sz w:val="16"/>
                <w:szCs w:val="16"/>
              </w:rPr>
              <w:t>aplica</w:t>
            </w:r>
            <w:r w:rsidR="00D67834">
              <w:rPr>
                <w:sz w:val="16"/>
                <w:szCs w:val="16"/>
              </w:rPr>
              <w:t xml:space="preserve">r </w:t>
            </w:r>
            <w:r w:rsidR="00D67834" w:rsidRPr="000259B2">
              <w:rPr>
                <w:sz w:val="16"/>
                <w:szCs w:val="16"/>
              </w:rPr>
              <w:t xml:space="preserve"> a la red de expertos de SIAC. </w:t>
            </w:r>
          </w:p>
        </w:tc>
      </w:tr>
      <w:tr w:rsidR="00D67834" w:rsidRPr="00DB681E" w:rsidTr="00217E83">
        <w:trPr>
          <w:trHeight w:val="299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DB681E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12-06-2012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DB681E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 w:rsidRPr="004866F0">
              <w:rPr>
                <w:sz w:val="16"/>
                <w:szCs w:val="16"/>
              </w:rPr>
              <w:t>Designación de Representante SEGEGOB en Comité de Evaluación para la Contratación de Consultores para la Etapa de Levantamiento.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DB681E" w:rsidRDefault="00D67834" w:rsidP="00217E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834" w:rsidRPr="004866F0" w:rsidRDefault="00A06233" w:rsidP="00217E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D67834" w:rsidRPr="004866F0">
              <w:rPr>
                <w:sz w:val="16"/>
                <w:szCs w:val="16"/>
              </w:rPr>
              <w:t>esigna</w:t>
            </w:r>
            <w:r>
              <w:rPr>
                <w:sz w:val="16"/>
                <w:szCs w:val="16"/>
              </w:rPr>
              <w:t>ción</w:t>
            </w:r>
            <w:r w:rsidR="00D67834" w:rsidRPr="004866F0">
              <w:rPr>
                <w:sz w:val="16"/>
                <w:szCs w:val="16"/>
              </w:rPr>
              <w:t xml:space="preserve"> a Cristian Ibarra como representante SEGEGOB ante el Comité de Evaluación PNUD, para los concursos:</w:t>
            </w:r>
          </w:p>
          <w:p w:rsidR="00D67834" w:rsidRPr="00DB681E" w:rsidRDefault="00D67834" w:rsidP="00217E83">
            <w:pPr>
              <w:spacing w:line="240" w:lineRule="auto"/>
              <w:rPr>
                <w:sz w:val="16"/>
                <w:szCs w:val="16"/>
              </w:rPr>
            </w:pPr>
            <w:r w:rsidRPr="004866F0">
              <w:rPr>
                <w:sz w:val="16"/>
                <w:szCs w:val="16"/>
              </w:rPr>
              <w:t>138/2012: Consultor Encuestador</w:t>
            </w:r>
            <w:r>
              <w:rPr>
                <w:sz w:val="16"/>
                <w:szCs w:val="16"/>
              </w:rPr>
              <w:t xml:space="preserve"> WEB de Participación Ciudadana, </w:t>
            </w:r>
            <w:r w:rsidRPr="004866F0">
              <w:rPr>
                <w:sz w:val="16"/>
                <w:szCs w:val="16"/>
              </w:rPr>
              <w:t>139/2012: Consultor Analista de Conten</w:t>
            </w:r>
            <w:r>
              <w:rPr>
                <w:sz w:val="16"/>
                <w:szCs w:val="16"/>
              </w:rPr>
              <w:t xml:space="preserve">idos de Participación Ciudadana, y </w:t>
            </w:r>
            <w:r w:rsidRPr="004866F0">
              <w:rPr>
                <w:sz w:val="16"/>
                <w:szCs w:val="16"/>
              </w:rPr>
              <w:t>140/2012: Consultor Tecnologías Aplicadas de Participación Ciudadana.</w:t>
            </w:r>
          </w:p>
        </w:tc>
      </w:tr>
      <w:tr w:rsidR="008D6C4F" w:rsidRPr="00DB681E" w:rsidTr="00A2283B">
        <w:trPr>
          <w:trHeight w:val="337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CA36C9" w:rsidRDefault="008D6C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12-06-2012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CA36C9" w:rsidRDefault="008D6C4F">
            <w:pPr>
              <w:spacing w:line="240" w:lineRule="auto"/>
              <w:rPr>
                <w:sz w:val="16"/>
                <w:szCs w:val="16"/>
              </w:rPr>
            </w:pPr>
            <w:r w:rsidRPr="000259B2">
              <w:rPr>
                <w:sz w:val="16"/>
                <w:szCs w:val="16"/>
              </w:rPr>
              <w:t>Revisión de Propuesta de Modelo de Procesos de la Ley 20.500 y sus Reglamentos.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CA36C9" w:rsidRDefault="008D6C4F" w:rsidP="008D6C4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4F" w:rsidRPr="00CA36C9" w:rsidRDefault="008D6C4F" w:rsidP="00A06233">
            <w:pPr>
              <w:spacing w:line="240" w:lineRule="auto"/>
              <w:rPr>
                <w:sz w:val="16"/>
                <w:szCs w:val="16"/>
              </w:rPr>
            </w:pPr>
            <w:r w:rsidRPr="005B5F14">
              <w:rPr>
                <w:sz w:val="16"/>
                <w:szCs w:val="16"/>
              </w:rPr>
              <w:t>Mapa de Procesos desarrollado para la implementación de los Reglamentos de la Ley 20.500 por parte del MSGG, sobre:</w:t>
            </w:r>
            <w:r>
              <w:rPr>
                <w:sz w:val="16"/>
                <w:szCs w:val="16"/>
              </w:rPr>
              <w:t xml:space="preserve"> </w:t>
            </w:r>
            <w:r w:rsidRPr="005B5F14">
              <w:rPr>
                <w:sz w:val="16"/>
                <w:szCs w:val="16"/>
              </w:rPr>
              <w:t>Nombramiento de Secretario Ejecutivo y Coordinadores Regionales</w:t>
            </w:r>
            <w:r>
              <w:rPr>
                <w:sz w:val="16"/>
                <w:szCs w:val="16"/>
              </w:rPr>
              <w:t xml:space="preserve">, </w:t>
            </w:r>
            <w:r w:rsidRPr="005B5F14">
              <w:rPr>
                <w:sz w:val="16"/>
                <w:szCs w:val="16"/>
              </w:rPr>
              <w:t>Constitución de los Consejo Nacional y Consejos Regionales de Organizaciones de Interés Público.</w:t>
            </w:r>
            <w:r>
              <w:rPr>
                <w:sz w:val="16"/>
                <w:szCs w:val="16"/>
              </w:rPr>
              <w:t xml:space="preserve"> </w:t>
            </w:r>
            <w:r w:rsidRPr="005B5F14">
              <w:rPr>
                <w:sz w:val="16"/>
                <w:szCs w:val="16"/>
              </w:rPr>
              <w:t>Inscripción y Eliminación del Catastro de Organizaciones de Interés Público</w:t>
            </w:r>
            <w:r>
              <w:rPr>
                <w:sz w:val="16"/>
                <w:szCs w:val="16"/>
              </w:rPr>
              <w:t xml:space="preserve">, </w:t>
            </w:r>
            <w:r w:rsidRPr="005B5F14">
              <w:rPr>
                <w:sz w:val="16"/>
                <w:szCs w:val="16"/>
              </w:rPr>
              <w:t>Registro de Personas Jurídicas sin Fines de Lucro</w:t>
            </w:r>
            <w:r>
              <w:rPr>
                <w:sz w:val="16"/>
                <w:szCs w:val="16"/>
              </w:rPr>
              <w:t xml:space="preserve"> </w:t>
            </w:r>
            <w:r w:rsidRPr="005B5F14">
              <w:rPr>
                <w:sz w:val="16"/>
                <w:szCs w:val="16"/>
              </w:rPr>
              <w:t xml:space="preserve">Funcionamiento del </w:t>
            </w:r>
            <w:r>
              <w:rPr>
                <w:sz w:val="16"/>
                <w:szCs w:val="16"/>
              </w:rPr>
              <w:t xml:space="preserve">Fondo de Fortalecimiento de las </w:t>
            </w:r>
            <w:r w:rsidRPr="005B5F14">
              <w:rPr>
                <w:sz w:val="16"/>
                <w:szCs w:val="16"/>
              </w:rPr>
              <w:t>Organizaciones sin Fines de Lucro.</w:t>
            </w:r>
            <w:r w:rsidR="00A06233">
              <w:rPr>
                <w:sz w:val="16"/>
                <w:szCs w:val="16"/>
              </w:rPr>
              <w:t xml:space="preserve"> Entregado a</w:t>
            </w:r>
            <w:r w:rsidR="00A06233" w:rsidRPr="005B5F14">
              <w:rPr>
                <w:sz w:val="16"/>
                <w:szCs w:val="16"/>
              </w:rPr>
              <w:t xml:space="preserve"> la Jefa de Planificación y Control y el Jefe de Gabinete</w:t>
            </w:r>
            <w:r w:rsidR="00A06233">
              <w:rPr>
                <w:sz w:val="16"/>
                <w:szCs w:val="16"/>
              </w:rPr>
              <w:t xml:space="preserve"> de la SEGEGOB.</w:t>
            </w:r>
          </w:p>
        </w:tc>
      </w:tr>
      <w:tr w:rsidR="00477AF5" w:rsidRPr="00DB681E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F5" w:rsidRPr="00CA36C9" w:rsidRDefault="00FC25BC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12-06-2012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F5" w:rsidRPr="00CA36C9" w:rsidRDefault="00FC25BC" w:rsidP="00FC25B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Preparación de materiales para la evaluación de ofertas para los Concursos de CV 138, 139 y 140 / 2012.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F5" w:rsidRPr="00CA36C9" w:rsidRDefault="00FC25BC" w:rsidP="00DB681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F5" w:rsidRPr="00DB681E" w:rsidRDefault="00EF4141" w:rsidP="00D62E7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Matrices de evaluación de antecedentes curriculares, técnicos y económicos de los postulantes a los concursos 138, 139 y 140 / 2012.</w:t>
            </w:r>
          </w:p>
        </w:tc>
      </w:tr>
      <w:tr w:rsidR="00477AF5" w:rsidRPr="00DB681E" w:rsidTr="00D62E71">
        <w:trPr>
          <w:trHeight w:val="414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F5" w:rsidRPr="00CA36C9" w:rsidRDefault="00FC25BC" w:rsidP="00C41D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18-06-2012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F5" w:rsidRPr="00CA36C9" w:rsidRDefault="00FC25BC" w:rsidP="00286F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Evaluación de antecedentes y realización de Entrevistas para la contratación de consultores de los concursos 138, 139 y 149 /2012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F5" w:rsidRDefault="00FC25BC" w:rsidP="00DB681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FC25BC" w:rsidRPr="00CA36C9" w:rsidRDefault="00FC25BC" w:rsidP="00DB681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AF5" w:rsidRPr="00DB681E" w:rsidRDefault="00FC25BC" w:rsidP="00D62E7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Antecedentes revisados y consultores preseleccionados, entrevistados y seleccionados.</w:t>
            </w:r>
          </w:p>
        </w:tc>
      </w:tr>
    </w:tbl>
    <w:p w:rsidR="00A77B3E" w:rsidRDefault="00A77B3E">
      <w:pPr>
        <w:spacing w:line="240" w:lineRule="auto"/>
      </w:pPr>
    </w:p>
    <w:p w:rsidR="00A77B3E" w:rsidRDefault="00CA36C9">
      <w:r>
        <w:t xml:space="preserve">NOTA: </w:t>
      </w:r>
      <w:r w:rsidR="00CB2DFD">
        <w:t>El detalle de las actividades señaladas anteriormente se encuentra en las minutas de las reuniones y documentos de trabajo referidos en estas; los que ubican en el sitio Google DOCs y en el DropBox, habilitados en internet</w:t>
      </w:r>
      <w:r w:rsidR="00CB2DFD" w:rsidRPr="00CB2DFD">
        <w:t xml:space="preserve"> </w:t>
      </w:r>
      <w:r w:rsidR="00CB2DFD">
        <w:t>para el equipo de trabajo</w:t>
      </w:r>
      <w:r w:rsidR="00CB2DFD" w:rsidRPr="00CB2DFD">
        <w:t xml:space="preserve"> </w:t>
      </w:r>
      <w:r w:rsidR="00CB2DFD">
        <w:t>del proyecto.</w:t>
      </w:r>
    </w:p>
    <w:p w:rsidR="00CB2DFD" w:rsidRDefault="00CB2DFD"/>
    <w:p w:rsidR="00E3777E" w:rsidRDefault="00E3777E">
      <w:pPr>
        <w:spacing w:line="240" w:lineRule="auto"/>
      </w:pPr>
      <w:r>
        <w:br w:type="page"/>
      </w:r>
    </w:p>
    <w:p w:rsidR="00A77B3E" w:rsidRDefault="00CB2DFD">
      <w:r>
        <w:t xml:space="preserve">Es todo </w:t>
      </w:r>
      <w:r w:rsidR="00CF2E0A">
        <w:t>cuanto puedo informar respecto</w:t>
      </w:r>
      <w:r>
        <w:t xml:space="preserve"> a la evolución de las actividades y acciones del proyecto</w:t>
      </w:r>
      <w:r w:rsidR="00C5318D">
        <w:t>.</w:t>
      </w:r>
    </w:p>
    <w:p w:rsidR="00315B66" w:rsidRDefault="00315B66"/>
    <w:p w:rsidR="00C5318D" w:rsidRDefault="00C5318D"/>
    <w:p w:rsidR="00E3777E" w:rsidRDefault="00E3777E"/>
    <w:p w:rsidR="00E3777E" w:rsidRDefault="00E3777E"/>
    <w:p w:rsidR="00E3777E" w:rsidRDefault="00E3777E">
      <w:bookmarkStart w:id="0" w:name="_GoBack"/>
      <w:bookmarkEnd w:id="0"/>
    </w:p>
    <w:p w:rsidR="00E3777E" w:rsidRDefault="00E3777E"/>
    <w:p w:rsidR="00A77B3E" w:rsidRDefault="00CF2E0A">
      <w:r>
        <w:t>Cristian Ibarra Muñoz</w:t>
      </w:r>
    </w:p>
    <w:p w:rsidR="00A77B3E" w:rsidRDefault="00C25F6F">
      <w:r>
        <w:t>Coordinador</w:t>
      </w:r>
      <w:r w:rsidR="00CF2E0A">
        <w:t xml:space="preserve"> de Proyecto PNUD - MSGG </w:t>
      </w:r>
    </w:p>
    <w:p w:rsidR="00A77B3E" w:rsidRDefault="00C5318D">
      <w:r>
        <w:t>CIM/27</w:t>
      </w:r>
      <w:r w:rsidR="00CF2E0A">
        <w:t>-0</w:t>
      </w:r>
      <w:r>
        <w:t>7</w:t>
      </w:r>
      <w:r w:rsidR="00CF2E0A">
        <w:t>-2012</w:t>
      </w:r>
    </w:p>
    <w:sectPr w:rsidR="00A77B3E" w:rsidSect="005A7F1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31" w:rsidRDefault="007B6D31">
      <w:pPr>
        <w:spacing w:line="240" w:lineRule="auto"/>
      </w:pPr>
      <w:r>
        <w:separator/>
      </w:r>
    </w:p>
  </w:endnote>
  <w:endnote w:type="continuationSeparator" w:id="0">
    <w:p w:rsidR="007B6D31" w:rsidRDefault="007B6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1D" w:rsidRDefault="005A7F1D">
    <w:pPr>
      <w:pBdr>
        <w:bottom w:val="single" w:sz="12" w:space="0" w:color="808080"/>
      </w:pBdr>
    </w:pPr>
  </w:p>
  <w:p w:rsidR="005A7F1D" w:rsidRDefault="005A7F1D"/>
  <w:p w:rsidR="005A7F1D" w:rsidRDefault="00CF2E0A" w:rsidP="006D22CE">
    <w:pPr>
      <w:tabs>
        <w:tab w:val="center" w:pos="6096"/>
        <w:tab w:val="right" w:pos="9071"/>
      </w:tabs>
      <w:spacing w:after="200"/>
      <w:rPr>
        <w:sz w:val="16"/>
        <w:szCs w:val="16"/>
      </w:rPr>
    </w:pPr>
    <w:r>
      <w:rPr>
        <w:sz w:val="16"/>
        <w:szCs w:val="16"/>
      </w:rPr>
      <w:t xml:space="preserve">Informe </w:t>
    </w:r>
    <w:r w:rsidR="006D22CE">
      <w:rPr>
        <w:sz w:val="16"/>
        <w:szCs w:val="16"/>
      </w:rPr>
      <w:t xml:space="preserve">Trimestral </w:t>
    </w:r>
    <w:r>
      <w:rPr>
        <w:sz w:val="16"/>
        <w:szCs w:val="16"/>
      </w:rPr>
      <w:t>d</w:t>
    </w:r>
    <w:r w:rsidR="00F91CDE">
      <w:rPr>
        <w:sz w:val="16"/>
        <w:szCs w:val="16"/>
      </w:rPr>
      <w:t>e Actividades FGPP  N°02/2012</w:t>
    </w:r>
    <w:r w:rsidR="00F91CDE">
      <w:rPr>
        <w:sz w:val="16"/>
        <w:szCs w:val="16"/>
      </w:rPr>
      <w:tab/>
      <w:t>29</w:t>
    </w:r>
    <w:r>
      <w:rPr>
        <w:sz w:val="16"/>
        <w:szCs w:val="16"/>
      </w:rPr>
      <w:t>-0</w:t>
    </w:r>
    <w:r w:rsidR="00F91CDE">
      <w:rPr>
        <w:sz w:val="16"/>
        <w:szCs w:val="16"/>
      </w:rPr>
      <w:t>6</w:t>
    </w:r>
    <w:r>
      <w:rPr>
        <w:sz w:val="16"/>
        <w:szCs w:val="16"/>
      </w:rPr>
      <w:t>-2012</w:t>
    </w:r>
    <w:r>
      <w:rPr>
        <w:sz w:val="16"/>
        <w:szCs w:val="16"/>
      </w:rPr>
      <w:tab/>
    </w:r>
    <w:r w:rsidR="0071516F">
      <w:fldChar w:fldCharType="begin"/>
    </w:r>
    <w:r>
      <w:instrText>PAGE</w:instrText>
    </w:r>
    <w:r w:rsidR="0071516F">
      <w:fldChar w:fldCharType="separate"/>
    </w:r>
    <w:r w:rsidR="00F20074">
      <w:rPr>
        <w:noProof/>
      </w:rPr>
      <w:t>4</w:t>
    </w:r>
    <w:r w:rsidR="0071516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31" w:rsidRDefault="007B6D31">
      <w:pPr>
        <w:spacing w:line="240" w:lineRule="auto"/>
      </w:pPr>
      <w:r>
        <w:separator/>
      </w:r>
    </w:p>
  </w:footnote>
  <w:footnote w:type="continuationSeparator" w:id="0">
    <w:p w:rsidR="007B6D31" w:rsidRDefault="007B6D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1D" w:rsidRDefault="005A7F1D"/>
  <w:p w:rsidR="005A7F1D" w:rsidRDefault="004B487D">
    <w:pPr>
      <w:rPr>
        <w:b/>
        <w:bCs/>
        <w:sz w:val="24"/>
        <w:szCs w:val="24"/>
      </w:rPr>
    </w:pPr>
    <w:r>
      <w:rPr>
        <w:noProof/>
      </w:rPr>
      <w:drawing>
        <wp:inline distT="0" distB="0" distL="0" distR="0">
          <wp:extent cx="1209046" cy="10953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6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2E0A">
      <w:rPr>
        <w:b/>
        <w:bCs/>
        <w:sz w:val="24"/>
        <w:szCs w:val="24"/>
      </w:rPr>
      <w:tab/>
    </w:r>
    <w:r w:rsidR="00CF2E0A">
      <w:rPr>
        <w:b/>
        <w:bCs/>
        <w:sz w:val="24"/>
        <w:szCs w:val="24"/>
      </w:rPr>
      <w:tab/>
    </w:r>
    <w:r w:rsidR="00CF2E0A">
      <w:rPr>
        <w:b/>
        <w:bCs/>
        <w:sz w:val="24"/>
        <w:szCs w:val="24"/>
      </w:rPr>
      <w:tab/>
    </w:r>
    <w:r w:rsidR="00CF2E0A">
      <w:rPr>
        <w:b/>
        <w:bCs/>
        <w:sz w:val="24"/>
        <w:szCs w:val="24"/>
      </w:rPr>
      <w:tab/>
    </w:r>
    <w:r w:rsidR="00CF2E0A">
      <w:rPr>
        <w:b/>
        <w:bCs/>
        <w:sz w:val="24"/>
        <w:szCs w:val="24"/>
      </w:rPr>
      <w:tab/>
    </w:r>
    <w:r w:rsidR="00CF2E0A">
      <w:rPr>
        <w:b/>
        <w:bCs/>
        <w:sz w:val="24"/>
        <w:szCs w:val="24"/>
      </w:rPr>
      <w:tab/>
    </w:r>
    <w:r w:rsidR="00CF2E0A">
      <w:rPr>
        <w:b/>
        <w:bCs/>
        <w:sz w:val="24"/>
        <w:szCs w:val="24"/>
      </w:rPr>
      <w:tab/>
    </w:r>
    <w:r w:rsidR="00CF2E0A">
      <w:rPr>
        <w:b/>
        <w:bCs/>
        <w:sz w:val="24"/>
        <w:szCs w:val="24"/>
      </w:rPr>
      <w:tab/>
      <w:t xml:space="preserve">          </w:t>
    </w:r>
    <w:r w:rsidR="006D22CE">
      <w:rPr>
        <w:b/>
        <w:bCs/>
        <w:noProof/>
        <w:sz w:val="24"/>
        <w:szCs w:val="24"/>
      </w:rPr>
      <w:drawing>
        <wp:inline distT="0" distB="0" distL="0" distR="0">
          <wp:extent cx="504825" cy="1184936"/>
          <wp:effectExtent l="19050" t="0" r="9525" b="0"/>
          <wp:docPr id="3" name="2 Imagen" descr="Logo PNUD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UD 201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4825" cy="118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2E0A">
      <w:rPr>
        <w:b/>
        <w:bCs/>
        <w:sz w:val="24"/>
        <w:szCs w:val="24"/>
      </w:rPr>
      <w:tab/>
    </w:r>
  </w:p>
  <w:p w:rsidR="006D22CE" w:rsidRDefault="006D22CE">
    <w:pPr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3F0E"/>
    <w:multiLevelType w:val="multilevel"/>
    <w:tmpl w:val="64A4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259B2"/>
    <w:rsid w:val="000A0E46"/>
    <w:rsid w:val="001D6F5D"/>
    <w:rsid w:val="002161DC"/>
    <w:rsid w:val="00286F87"/>
    <w:rsid w:val="00315B66"/>
    <w:rsid w:val="00380F03"/>
    <w:rsid w:val="003923E4"/>
    <w:rsid w:val="00477AF5"/>
    <w:rsid w:val="004866F0"/>
    <w:rsid w:val="004B487D"/>
    <w:rsid w:val="004E3A9A"/>
    <w:rsid w:val="00536E8F"/>
    <w:rsid w:val="0054663A"/>
    <w:rsid w:val="005A7F1D"/>
    <w:rsid w:val="005B5F14"/>
    <w:rsid w:val="006D22CE"/>
    <w:rsid w:val="0071516F"/>
    <w:rsid w:val="007766DD"/>
    <w:rsid w:val="00792E36"/>
    <w:rsid w:val="007A7D13"/>
    <w:rsid w:val="007B6D31"/>
    <w:rsid w:val="008807BE"/>
    <w:rsid w:val="0089307C"/>
    <w:rsid w:val="008D6C4F"/>
    <w:rsid w:val="009364B4"/>
    <w:rsid w:val="009A43F4"/>
    <w:rsid w:val="00A02BD6"/>
    <w:rsid w:val="00A06233"/>
    <w:rsid w:val="00A2283B"/>
    <w:rsid w:val="00A73301"/>
    <w:rsid w:val="00A77B3E"/>
    <w:rsid w:val="00AD5167"/>
    <w:rsid w:val="00B43D07"/>
    <w:rsid w:val="00B77995"/>
    <w:rsid w:val="00BC3F16"/>
    <w:rsid w:val="00C25F6F"/>
    <w:rsid w:val="00C5318D"/>
    <w:rsid w:val="00CA36C9"/>
    <w:rsid w:val="00CB2DFD"/>
    <w:rsid w:val="00CF2E0A"/>
    <w:rsid w:val="00D203FD"/>
    <w:rsid w:val="00D62E71"/>
    <w:rsid w:val="00D67834"/>
    <w:rsid w:val="00DB681E"/>
    <w:rsid w:val="00DC7B6A"/>
    <w:rsid w:val="00E3777E"/>
    <w:rsid w:val="00EC1D5B"/>
    <w:rsid w:val="00ED7314"/>
    <w:rsid w:val="00EF4141"/>
    <w:rsid w:val="00F20074"/>
    <w:rsid w:val="00F91CDE"/>
    <w:rsid w:val="00FC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F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tulo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rsid w:val="006D22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22CE"/>
    <w:rPr>
      <w:rFonts w:ascii="Tahoma" w:eastAsia="Arial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rsid w:val="006D22C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D22CE"/>
    <w:rPr>
      <w:rFonts w:ascii="Arial" w:eastAsia="Arial" w:hAnsi="Arial" w:cs="Arial"/>
      <w:color w:val="000000"/>
      <w:sz w:val="22"/>
      <w:szCs w:val="22"/>
    </w:rPr>
  </w:style>
  <w:style w:type="paragraph" w:styleId="Piedepgina">
    <w:name w:val="footer"/>
    <w:basedOn w:val="Normal"/>
    <w:link w:val="PiedepginaCar"/>
    <w:rsid w:val="006D22C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6D22CE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ATLASPDC-3-2562</_dlc_DocId>
    <_dlc_DocIdUrl xmlns="f1161f5b-24a3-4c2d-bc81-44cb9325e8ee">
      <Url>https://info.undp.org/docs/pdc/_layouts/DocIdRedir.aspx?ID=ATLASPDC-3-2562</Url>
      <Description>ATLASPDC-3-2562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00058210</Project_x0020_Number>
    <Project_x0020_Manager xmlns="f1161f5b-24a3-4c2d-bc81-44cb9325e8ee" xsi:nil="true"/>
    <TaxCatchAll xmlns="1ed4137b-41b2-488b-8250-6d369ec27664">
      <Value>1112</Value>
      <Value>1130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CHL</TermName>
          <TermId xmlns="http://schemas.microsoft.com/office/infopath/2007/PartnerControls">437fa565-d10d-4df4-a7e5-419086850b96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00058210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A851CC12-D68B-4354-96E4-AC0E7AA6A77D}"/>
</file>

<file path=customXml/itemProps2.xml><?xml version="1.0" encoding="utf-8"?>
<ds:datastoreItem xmlns:ds="http://schemas.openxmlformats.org/officeDocument/2006/customXml" ds:itemID="{7B796432-C4C8-4D93-B5AC-39C4B67E50CF}"/>
</file>

<file path=customXml/itemProps3.xml><?xml version="1.0" encoding="utf-8"?>
<ds:datastoreItem xmlns:ds="http://schemas.openxmlformats.org/officeDocument/2006/customXml" ds:itemID="{B9DF9649-8F6C-4D1F-ABD9-6B5E8594C68D}"/>
</file>

<file path=customXml/itemProps4.xml><?xml version="1.0" encoding="utf-8"?>
<ds:datastoreItem xmlns:ds="http://schemas.openxmlformats.org/officeDocument/2006/customXml" ds:itemID="{EE110F1F-462C-4EBA-B4DB-9AE79951A6F2}"/>
</file>

<file path=customXml/itemProps5.xml><?xml version="1.0" encoding="utf-8"?>
<ds:datastoreItem xmlns:ds="http://schemas.openxmlformats.org/officeDocument/2006/customXml" ds:itemID="{128264D0-58B3-423A-A26F-269F6571C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cibarra</dc:creator>
  <cp:lastModifiedBy>patricia.ezquerra</cp:lastModifiedBy>
  <cp:revision>2</cp:revision>
  <cp:lastPrinted>2012-07-27T13:57:00Z</cp:lastPrinted>
  <dcterms:created xsi:type="dcterms:W3CDTF">2012-07-27T15:14:00Z</dcterms:created>
  <dcterms:modified xsi:type="dcterms:W3CDTF">2012-07-27T15:14:00Z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bf215fe5-0d82-4316-9361-d256a4a4c259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1130;#CHL|437fa565-d10d-4df4-a7e5-419086850b96</vt:lpwstr>
  </property>
  <property fmtid="{D5CDD505-2E9C-101B-9397-08002B2CF9AE}" pid="9" name="Atlas_x0020_Document_x0020_Type">
    <vt:lpwstr>236;#Progress Report|cafb2bdd-31de-4683-a84c-29af809cca57</vt:lpwstr>
  </property>
  <property fmtid="{D5CDD505-2E9C-101B-9397-08002B2CF9AE}" pid="10" name="Atlas_x0020_Document_x0020_Status">
    <vt:lpwstr/>
  </property>
  <property fmtid="{D5CDD505-2E9C-101B-9397-08002B2CF9AE}" pid="11" name="UNDPDocumentCategory">
    <vt:lpwstr/>
  </property>
  <property fmtid="{D5CDD505-2E9C-101B-9397-08002B2CF9AE}" pid="13" name="UN Languages">
    <vt:lpwstr/>
  </property>
  <property fmtid="{D5CDD505-2E9C-101B-9397-08002B2CF9AE}" pid="15" name="Atlas Document Status">
    <vt:lpwstr/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UNDPCountry">
    <vt:lpwstr/>
  </property>
  <property fmtid="{D5CDD505-2E9C-101B-9397-08002B2CF9AE}" pid="18" name="UndpDocTypeMM">
    <vt:lpwstr/>
  </property>
  <property fmtid="{D5CDD505-2E9C-101B-9397-08002B2CF9AE}" pid="19" name="UnitTaxHTField0">
    <vt:lpwstr/>
  </property>
  <property fmtid="{D5CDD505-2E9C-101B-9397-08002B2CF9AE}" pid="20" name="UndpUnitMM">
    <vt:lpwstr/>
  </property>
  <property fmtid="{D5CDD505-2E9C-101B-9397-08002B2CF9AE}" pid="21" name="eRegFilingCodeMM">
    <vt:lpwstr/>
  </property>
  <property fmtid="{D5CDD505-2E9C-101B-9397-08002B2CF9AE}" pid="22" name="DocumentSetDescription">
    <vt:lpwstr/>
  </property>
  <property fmtid="{D5CDD505-2E9C-101B-9397-08002B2CF9AE}" pid="23" name="URL">
    <vt:lpwstr/>
  </property>
</Properties>
</file>